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5B" w:rsidRPr="00A54E85" w:rsidRDefault="003F475B" w:rsidP="003F475B">
      <w:pPr>
        <w:jc w:val="both"/>
        <w:rPr>
          <w:rFonts w:ascii="Cambria" w:hAnsi="Cambria"/>
          <w:b/>
        </w:rPr>
      </w:pPr>
      <w:r w:rsidRPr="00A54E85">
        <w:rPr>
          <w:rFonts w:ascii="Cambria" w:hAnsi="Cambria"/>
          <w:b/>
        </w:rPr>
        <w:t>Prioriteti borbe protiv korupcije</w:t>
      </w:r>
    </w:p>
    <w:p w:rsidR="003F475B" w:rsidRPr="00A54E85" w:rsidRDefault="003F475B" w:rsidP="003F475B">
      <w:pPr>
        <w:jc w:val="both"/>
        <w:rPr>
          <w:rFonts w:ascii="Cambria" w:hAnsi="Cambria"/>
        </w:rPr>
      </w:pPr>
    </w:p>
    <w:p w:rsidR="000E1848" w:rsidRDefault="000E1848" w:rsidP="003F475B">
      <w:pPr>
        <w:jc w:val="both"/>
        <w:rPr>
          <w:rFonts w:ascii="Cambria" w:hAnsi="Cambria"/>
        </w:rPr>
      </w:pPr>
    </w:p>
    <w:p w:rsidR="000E1848" w:rsidRDefault="000E1848" w:rsidP="003F475B">
      <w:pPr>
        <w:jc w:val="both"/>
        <w:rPr>
          <w:rFonts w:ascii="Cambria" w:hAnsi="Cambria"/>
        </w:rPr>
      </w:pPr>
    </w:p>
    <w:p w:rsidR="003F475B" w:rsidRPr="00A54E85" w:rsidRDefault="003F475B" w:rsidP="003F475B">
      <w:pPr>
        <w:jc w:val="both"/>
        <w:rPr>
          <w:rFonts w:ascii="Cambria" w:hAnsi="Cambria"/>
        </w:rPr>
      </w:pPr>
      <w:r w:rsidRPr="00A54E85">
        <w:rPr>
          <w:rFonts w:ascii="Cambria" w:hAnsi="Cambria"/>
        </w:rPr>
        <w:t xml:space="preserve">Transparentnost Srbija (ogranak međunarodne mreže Transparency International) predstavila je danas </w:t>
      </w:r>
      <w:r w:rsidRPr="00A54E85">
        <w:rPr>
          <w:rFonts w:ascii="Cambria" w:hAnsi="Cambria"/>
          <w:b/>
        </w:rPr>
        <w:t>14 prioriteta za borbu protiv korupcije</w:t>
      </w:r>
      <w:r w:rsidRPr="00A54E85">
        <w:rPr>
          <w:rFonts w:ascii="Cambria" w:hAnsi="Cambria"/>
        </w:rPr>
        <w:t xml:space="preserve"> u narednom četvorogodišnjem periodu i pozvala stranke koje učestvuju u izbornoj kampanji da ih prihvate, kako bi ih buduća Vlada i Skupština uvrstila u svoj program delovanja.</w:t>
      </w:r>
    </w:p>
    <w:p w:rsidR="003F475B" w:rsidRPr="00A54E85" w:rsidRDefault="003F475B" w:rsidP="003F475B">
      <w:pPr>
        <w:jc w:val="both"/>
        <w:rPr>
          <w:rFonts w:ascii="Cambria" w:hAnsi="Cambria"/>
        </w:rPr>
      </w:pPr>
    </w:p>
    <w:p w:rsidR="000E1848" w:rsidRDefault="000E1848" w:rsidP="003F475B">
      <w:pPr>
        <w:jc w:val="both"/>
        <w:rPr>
          <w:rFonts w:ascii="Cambria" w:hAnsi="Cambria"/>
        </w:rPr>
      </w:pPr>
    </w:p>
    <w:p w:rsidR="003F475B" w:rsidRPr="00A54E85" w:rsidRDefault="003F475B" w:rsidP="003F475B">
      <w:pPr>
        <w:jc w:val="both"/>
        <w:rPr>
          <w:rFonts w:ascii="Cambria" w:hAnsi="Cambria"/>
        </w:rPr>
      </w:pPr>
      <w:r w:rsidRPr="00A54E85">
        <w:rPr>
          <w:rFonts w:ascii="Cambria" w:hAnsi="Cambria"/>
        </w:rPr>
        <w:t xml:space="preserve">Među prioritetima su veća </w:t>
      </w:r>
      <w:r w:rsidRPr="00A54E85">
        <w:rPr>
          <w:rFonts w:ascii="Cambria" w:hAnsi="Cambria"/>
          <w:b/>
        </w:rPr>
        <w:t>javnost procesa donošenja odluka</w:t>
      </w:r>
      <w:r w:rsidRPr="00A54E85">
        <w:rPr>
          <w:rFonts w:ascii="Cambria" w:hAnsi="Cambria"/>
        </w:rPr>
        <w:t xml:space="preserve"> i uređenje </w:t>
      </w:r>
      <w:r w:rsidRPr="00A54E85">
        <w:rPr>
          <w:rFonts w:ascii="Cambria" w:hAnsi="Cambria"/>
          <w:b/>
        </w:rPr>
        <w:t>lobiranja</w:t>
      </w:r>
      <w:r w:rsidRPr="00A54E85">
        <w:rPr>
          <w:rFonts w:ascii="Cambria" w:hAnsi="Cambria"/>
        </w:rPr>
        <w:t xml:space="preserve">, poštovanje i jačanje položaja </w:t>
      </w:r>
      <w:r w:rsidRPr="00A54E85">
        <w:rPr>
          <w:rFonts w:ascii="Cambria" w:hAnsi="Cambria"/>
          <w:b/>
        </w:rPr>
        <w:t>nezavisnih državnih organa</w:t>
      </w:r>
      <w:r w:rsidRPr="00A54E85">
        <w:rPr>
          <w:rFonts w:ascii="Cambria" w:hAnsi="Cambria"/>
        </w:rPr>
        <w:t xml:space="preserve"> u borbi protiv korupcije, </w:t>
      </w:r>
      <w:r w:rsidRPr="00A54E85">
        <w:rPr>
          <w:rFonts w:ascii="Cambria" w:hAnsi="Cambria"/>
          <w:b/>
        </w:rPr>
        <w:t>izmena medijskih propisa</w:t>
      </w:r>
      <w:r w:rsidRPr="00A54E85">
        <w:rPr>
          <w:rFonts w:ascii="Cambria" w:hAnsi="Cambria"/>
        </w:rPr>
        <w:t xml:space="preserve"> kako bi se prekinula praksa kupovine medijskog uticaja, jasni i sveobuhvatni </w:t>
      </w:r>
      <w:r w:rsidRPr="00A54E85">
        <w:rPr>
          <w:rFonts w:ascii="Cambria" w:hAnsi="Cambria"/>
          <w:b/>
        </w:rPr>
        <w:t>planovi rada i izveštaji o radu</w:t>
      </w:r>
      <w:r w:rsidRPr="00A54E85">
        <w:rPr>
          <w:rFonts w:ascii="Cambria" w:hAnsi="Cambria"/>
        </w:rPr>
        <w:t xml:space="preserve"> i njihovo razmatranje, kao i niz konkretnih mera koje treba da doprinesu većem broj prijavljenih i ispitanih slučajeva korupcije.</w:t>
      </w:r>
    </w:p>
    <w:p w:rsidR="003F475B" w:rsidRPr="00A54E85" w:rsidRDefault="003F475B" w:rsidP="003F475B">
      <w:pPr>
        <w:jc w:val="both"/>
        <w:rPr>
          <w:rFonts w:ascii="Cambria" w:hAnsi="Cambria"/>
          <w:lang w:eastAsia="en-GB"/>
        </w:rPr>
      </w:pPr>
    </w:p>
    <w:p w:rsidR="000E1848" w:rsidRDefault="000E1848" w:rsidP="003F475B">
      <w:pPr>
        <w:jc w:val="both"/>
        <w:rPr>
          <w:rFonts w:ascii="Cambria" w:hAnsi="Cambria"/>
          <w:lang w:eastAsia="en-GB"/>
        </w:rPr>
      </w:pPr>
    </w:p>
    <w:p w:rsidR="003F475B" w:rsidRPr="00A54E85" w:rsidRDefault="003F475B" w:rsidP="003F475B">
      <w:pPr>
        <w:jc w:val="both"/>
        <w:rPr>
          <w:rFonts w:ascii="Cambria" w:hAnsi="Cambria"/>
          <w:lang w:eastAsia="en-GB"/>
        </w:rPr>
      </w:pPr>
      <w:r w:rsidRPr="00A54E85">
        <w:rPr>
          <w:rFonts w:ascii="Cambria" w:hAnsi="Cambria"/>
          <w:lang w:eastAsia="en-GB"/>
        </w:rPr>
        <w:t xml:space="preserve">S obzirom da su sve tačke koncipirane tako da se uvažavaju moguće ideološke i druge razlike među političkim akterima, TS je pozvala grupacije koje učestvuju na izborima da </w:t>
      </w:r>
      <w:r w:rsidRPr="00A54E85">
        <w:rPr>
          <w:rFonts w:ascii="Cambria" w:hAnsi="Cambria"/>
          <w:lang w:eastAsia="en-GB"/>
        </w:rPr>
        <w:t>ih prihvate kao svoje ili da iznesu razloge zbog kojih se protive navedenim stavovima i predloženim aktivnostima.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  <w:r w:rsidRPr="00A54E85">
        <w:rPr>
          <w:rFonts w:ascii="Cambria" w:hAnsi="Cambria"/>
          <w:lang/>
        </w:rPr>
        <w:t>TS je predložila mere koje treba da rezultiraju oč</w:t>
      </w:r>
      <w:r w:rsidRPr="00A54E85">
        <w:rPr>
          <w:rFonts w:ascii="Cambria" w:hAnsi="Cambria"/>
        </w:rPr>
        <w:t xml:space="preserve">uvanjem pravne sigurnosti, otklanjanjem koruptivnih rizika pri regulatornim i finansijskim intervencijama države, sveobuhvatnom reformom javnog sektora, punom primenom Zakona o javnim nabavkama i stvaranjem nezavisnog i odgovornog pravosuđa. </w:t>
      </w:r>
      <w:r w:rsidRPr="00A54E85">
        <w:rPr>
          <w:rFonts w:ascii="Cambria" w:hAnsi="Cambria"/>
          <w:lang/>
        </w:rPr>
        <w:t xml:space="preserve">Jedan od prioriteta za koje se TS založila jeste i </w:t>
      </w:r>
      <w:r w:rsidRPr="00A54E85">
        <w:rPr>
          <w:rFonts w:ascii="Cambria" w:hAnsi="Cambria"/>
          <w:b/>
          <w:lang/>
        </w:rPr>
        <w:t>jasna</w:t>
      </w:r>
      <w:r w:rsidRPr="00A54E85">
        <w:rPr>
          <w:rFonts w:ascii="Cambria" w:hAnsi="Cambria"/>
          <w:b/>
          <w:bCs/>
          <w:lang w:eastAsia="en-GB"/>
        </w:rPr>
        <w:t xml:space="preserve"> podela nadležnosti</w:t>
      </w:r>
      <w:r w:rsidRPr="00A54E85">
        <w:rPr>
          <w:rFonts w:ascii="Cambria" w:hAnsi="Cambria"/>
          <w:bCs/>
          <w:lang w:eastAsia="en-GB"/>
        </w:rPr>
        <w:t xml:space="preserve"> i ovlašćenja državnih organa za borbu protiv korupcije. U tom smislu je naročito značajno urediti pitanje </w:t>
      </w:r>
      <w:r w:rsidRPr="00A54E85">
        <w:rPr>
          <w:rFonts w:ascii="Cambria" w:hAnsi="Cambria"/>
          <w:b/>
          <w:bCs/>
          <w:lang w:eastAsia="en-GB"/>
        </w:rPr>
        <w:t>ovlašćenja Vladinog koordinatora</w:t>
      </w:r>
      <w:r w:rsidRPr="00A54E85">
        <w:rPr>
          <w:rFonts w:ascii="Cambria" w:hAnsi="Cambria"/>
          <w:bCs/>
          <w:lang w:eastAsia="en-GB"/>
        </w:rPr>
        <w:t xml:space="preserve"> za borbu protiv korupcije, ukoliko postoji namera da se taj koncept zadrži i ubuduće. Potrebno je takođe obezbediti da nema </w:t>
      </w:r>
      <w:r w:rsidRPr="00A54E85">
        <w:rPr>
          <w:rFonts w:ascii="Cambria" w:hAnsi="Cambria"/>
          <w:b/>
          <w:bCs/>
          <w:lang w:eastAsia="en-GB"/>
        </w:rPr>
        <w:t>preklapanja nadležnosti</w:t>
      </w:r>
      <w:r w:rsidRPr="00A54E85">
        <w:rPr>
          <w:rFonts w:ascii="Cambria" w:hAnsi="Cambria"/>
          <w:bCs/>
          <w:lang w:eastAsia="en-GB"/>
        </w:rPr>
        <w:t xml:space="preserve"> između policijske Službe za borbu protiv organizovanog kriminala i korupcije i bezbednosnih službi i utvrditi </w:t>
      </w:r>
      <w:r w:rsidRPr="00A54E85">
        <w:rPr>
          <w:rFonts w:ascii="Cambria" w:hAnsi="Cambria"/>
          <w:b/>
          <w:bCs/>
          <w:lang w:eastAsia="en-GB"/>
        </w:rPr>
        <w:t>jasan lanac komandovanja</w:t>
      </w:r>
      <w:r w:rsidRPr="00A54E85">
        <w:rPr>
          <w:rFonts w:ascii="Cambria" w:hAnsi="Cambria"/>
          <w:bCs/>
          <w:lang w:eastAsia="en-GB"/>
        </w:rPr>
        <w:t xml:space="preserve">. Umesto  „radnih grupa“, koje trenutno ispituju „24 slučaja“,  treba obezbediti da se istragom bave stalni državni organi, imajući u vidu da </w:t>
      </w:r>
      <w:r w:rsidRPr="00A54E85">
        <w:rPr>
          <w:rFonts w:ascii="Cambria" w:hAnsi="Cambria"/>
          <w:b/>
          <w:bCs/>
          <w:lang w:eastAsia="en-GB"/>
        </w:rPr>
        <w:t>suzbijanje korupcije nije ad hoc posao</w:t>
      </w:r>
      <w:r w:rsidRPr="00A54E85">
        <w:rPr>
          <w:rFonts w:ascii="Cambria" w:hAnsi="Cambria"/>
          <w:bCs/>
          <w:lang w:eastAsia="en-GB"/>
        </w:rPr>
        <w:t xml:space="preserve">.      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  <w:r w:rsidRPr="00A54E85">
        <w:rPr>
          <w:rFonts w:ascii="Cambria" w:hAnsi="Cambria"/>
          <w:lang/>
        </w:rPr>
        <w:t xml:space="preserve">Kao mere koje treba da dovedu </w:t>
      </w:r>
      <w:r w:rsidRPr="00A54E85">
        <w:rPr>
          <w:rFonts w:ascii="Cambria" w:hAnsi="Cambria"/>
          <w:b/>
          <w:lang/>
        </w:rPr>
        <w:t>do većeg broja prijavljenih i ispitanih slučajeva korupcije</w:t>
      </w:r>
      <w:r w:rsidRPr="00A54E85">
        <w:rPr>
          <w:rFonts w:ascii="Cambria" w:hAnsi="Cambria"/>
          <w:lang/>
        </w:rPr>
        <w:t xml:space="preserve">, TS predlaže </w:t>
      </w:r>
      <w:r w:rsidRPr="00A54E85">
        <w:rPr>
          <w:rFonts w:ascii="Cambria" w:hAnsi="Cambria"/>
          <w:b/>
          <w:lang/>
        </w:rPr>
        <w:t>donošenje Zakona o zaštiti uzbunjivača</w:t>
      </w:r>
      <w:r w:rsidRPr="00A54E85">
        <w:rPr>
          <w:rFonts w:ascii="Cambria" w:hAnsi="Cambria"/>
          <w:lang/>
        </w:rPr>
        <w:t xml:space="preserve"> i propisivanje u Krivičnom zakoniku obaveznog oslobađanja od krivične odgovornosti </w:t>
      </w:r>
      <w:r w:rsidRPr="00A54E85">
        <w:rPr>
          <w:rFonts w:ascii="Cambria" w:hAnsi="Cambria"/>
          <w:b/>
          <w:lang/>
        </w:rPr>
        <w:t>davaoca mita koji je na to bio prinuđen</w:t>
      </w:r>
      <w:r w:rsidRPr="00A54E85">
        <w:rPr>
          <w:rFonts w:ascii="Cambria" w:hAnsi="Cambria"/>
          <w:lang/>
        </w:rPr>
        <w:t xml:space="preserve"> i koji slučaj prijavi, umesto fakultativnog oslobađanja od kazne.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  <w:r w:rsidRPr="00A54E85">
        <w:rPr>
          <w:rFonts w:ascii="Cambria" w:hAnsi="Cambria"/>
          <w:lang/>
        </w:rPr>
        <w:t xml:space="preserve">Druga neophodna mera jeste </w:t>
      </w:r>
      <w:r w:rsidRPr="00A54E85">
        <w:rPr>
          <w:rFonts w:ascii="Cambria" w:hAnsi="Cambria"/>
          <w:b/>
          <w:lang/>
        </w:rPr>
        <w:t>aktivniji pristup u ispitivanju korupcije</w:t>
      </w:r>
      <w:r w:rsidRPr="00A54E85">
        <w:rPr>
          <w:rFonts w:ascii="Cambria" w:hAnsi="Cambria"/>
          <w:lang/>
        </w:rPr>
        <w:t xml:space="preserve"> od strane policije, tužilaštva i drugih organa – postojanje moguće korupcije treba ispitivati i pre dobijanja krivične prijave – npr. čitanjem javno dostupnih izveštaja (kao što su izveštaji DRI) ali i na osnovu već utvrđenih obrazaca ponašanja (npr. na osnovu podataka o zloupotrebama sa građevinskim zemljištem u jednom gradu ispitati kakva je praksa u drugom gradu koji primenjuje iste propise). 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  <w:r w:rsidRPr="00A54E85">
        <w:rPr>
          <w:rFonts w:ascii="Cambria" w:hAnsi="Cambria"/>
          <w:lang/>
        </w:rPr>
        <w:t xml:space="preserve">Treći set mera obuhvata dopunu krivičnog zakonodavstva radi efikasnijeg otkrivanja korupcije (npr. </w:t>
      </w:r>
      <w:r w:rsidRPr="00A54E85">
        <w:rPr>
          <w:rFonts w:ascii="Cambria" w:hAnsi="Cambria"/>
          <w:b/>
          <w:lang/>
        </w:rPr>
        <w:t>uvođenje „nezakonitog bogaćenja“</w:t>
      </w:r>
      <w:r w:rsidRPr="00A54E85">
        <w:rPr>
          <w:rFonts w:ascii="Cambria" w:hAnsi="Cambria"/>
          <w:lang/>
        </w:rPr>
        <w:t xml:space="preserve"> iz člana 20. Konvencije UN protiv korupcije), korišćenje mehanizama za </w:t>
      </w:r>
      <w:r w:rsidRPr="00A54E85">
        <w:rPr>
          <w:rFonts w:ascii="Cambria" w:hAnsi="Cambria"/>
          <w:b/>
          <w:lang/>
        </w:rPr>
        <w:t>unakrsnu proveru imovine i prihoda</w:t>
      </w:r>
      <w:r w:rsidRPr="00A54E85">
        <w:rPr>
          <w:rFonts w:ascii="Cambria" w:hAnsi="Cambria"/>
          <w:lang/>
        </w:rPr>
        <w:t xml:space="preserve"> od strane Poreske uprave, preciziranje ovlašćenja i obaveza Agencije za borbu protiv korupcije u proveri tačnosti i potpunosti </w:t>
      </w:r>
      <w:r w:rsidRPr="00A54E85">
        <w:rPr>
          <w:rFonts w:ascii="Cambria" w:hAnsi="Cambria"/>
          <w:b/>
          <w:lang/>
        </w:rPr>
        <w:t>podataka o imovini i prihodima javnih funkcionera</w:t>
      </w:r>
      <w:r w:rsidRPr="00A54E85">
        <w:rPr>
          <w:rFonts w:ascii="Cambria" w:hAnsi="Cambria"/>
          <w:lang/>
        </w:rPr>
        <w:t xml:space="preserve"> i </w:t>
      </w:r>
      <w:r w:rsidRPr="00A54E85">
        <w:rPr>
          <w:rFonts w:ascii="Cambria" w:hAnsi="Cambria"/>
          <w:b/>
          <w:lang/>
        </w:rPr>
        <w:t>šire korišćenje posebnih istražnih tehnika</w:t>
      </w:r>
      <w:r w:rsidRPr="00A54E85">
        <w:rPr>
          <w:rFonts w:ascii="Cambria" w:hAnsi="Cambria"/>
          <w:lang/>
        </w:rPr>
        <w:t xml:space="preserve"> u otkrivanju korupcije, u skladu sa zakonom.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3F475B" w:rsidRPr="00464744" w:rsidRDefault="003F475B" w:rsidP="003F475B">
      <w:pPr>
        <w:jc w:val="both"/>
        <w:rPr>
          <w:rFonts w:ascii="Cambria" w:hAnsi="Cambria"/>
          <w:lang/>
        </w:rPr>
      </w:pPr>
      <w:r w:rsidRPr="00464744">
        <w:rPr>
          <w:rFonts w:ascii="Cambria" w:hAnsi="Cambria"/>
          <w:lang/>
        </w:rPr>
        <w:t xml:space="preserve">TS je ukazala i na potrebu da se u sklopu eventualne promene  Ustava, u njega ugrade snažniji antikorupcijski mehanizmi, uključujući smanjenje preširoko postavljenog imuniteta javnih funkcionera od krivičnog gonjenja, uređivanje statusa nezavisnih državnih organa, uređivanje broja i statusa narodnih poslanika, bolje uređenje pitanja sukoba interesa, čvršće garancije za javnost rada organa vlasti i postavljanje brane za kršenje pravila o raspolaganju javnim finansijama,.  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0E1848" w:rsidRDefault="000E1848" w:rsidP="003F475B">
      <w:pPr>
        <w:jc w:val="both"/>
        <w:rPr>
          <w:rFonts w:ascii="Cambria" w:hAnsi="Cambria"/>
          <w:lang/>
        </w:rPr>
      </w:pP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  <w:r w:rsidRPr="00A54E85">
        <w:rPr>
          <w:rFonts w:ascii="Cambria" w:hAnsi="Cambria"/>
          <w:lang/>
        </w:rPr>
        <w:t xml:space="preserve">Transparentnost – Srbija </w:t>
      </w: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</w:p>
    <w:p w:rsidR="003F475B" w:rsidRPr="00A54E85" w:rsidRDefault="003F475B" w:rsidP="003F475B">
      <w:pPr>
        <w:jc w:val="both"/>
        <w:rPr>
          <w:rFonts w:ascii="Cambria" w:hAnsi="Cambria"/>
          <w:lang/>
        </w:rPr>
      </w:pPr>
      <w:r w:rsidRPr="00A54E85">
        <w:rPr>
          <w:rFonts w:ascii="Cambria" w:hAnsi="Cambria"/>
          <w:lang/>
        </w:rPr>
        <w:t>Beograd, 2</w:t>
      </w:r>
      <w:r>
        <w:rPr>
          <w:rFonts w:ascii="Cambria" w:hAnsi="Cambria"/>
          <w:lang/>
        </w:rPr>
        <w:t>0</w:t>
      </w:r>
      <w:r w:rsidRPr="00A54E85">
        <w:rPr>
          <w:rFonts w:ascii="Cambria" w:hAnsi="Cambria"/>
          <w:lang/>
        </w:rPr>
        <w:t xml:space="preserve">. februar 2014. </w:t>
      </w:r>
    </w:p>
    <w:p w:rsidR="00E3311A" w:rsidRPr="00A50CED" w:rsidRDefault="00E3311A" w:rsidP="00784F30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sectPr w:rsidR="00E3311A" w:rsidRPr="00A50CED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E5B" w:rsidRDefault="00BF3E5B">
      <w:r>
        <w:separator/>
      </w:r>
    </w:p>
  </w:endnote>
  <w:endnote w:type="continuationSeparator" w:id="0">
    <w:p w:rsidR="00BF3E5B" w:rsidRDefault="00BF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8" w:rsidRPr="005A4E20" w:rsidRDefault="00221128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221128" w:rsidRPr="005A4E20" w:rsidRDefault="00221128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221128" w:rsidRPr="005A4E20" w:rsidRDefault="00221128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221128" w:rsidRDefault="00F37AC5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221128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221128" w:rsidRPr="005A4E20" w:rsidRDefault="00221128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E5B" w:rsidRDefault="00BF3E5B">
      <w:r>
        <w:separator/>
      </w:r>
    </w:p>
  </w:footnote>
  <w:footnote w:type="continuationSeparator" w:id="0">
    <w:p w:rsidR="00BF3E5B" w:rsidRDefault="00BF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28" w:rsidRDefault="00F37AC5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F37AC5">
      <w:rPr>
        <w:rFonts w:ascii="Arial" w:hAnsi="Arial" w:cs="Arial"/>
        <w:b/>
        <w:i/>
        <w:caps/>
        <w:sz w:val="28"/>
        <w:szCs w:val="28"/>
        <w:lang w:val="sr-Latn-C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207pt;margin-top:.6pt;width:225pt;height:1in;z-index:251658240" filled="f" strokecolor="white" strokeweight="0">
          <v:textbox style="mso-next-textbox:#_x0000_s2052">
            <w:txbxContent>
              <w:p w:rsidR="00221128" w:rsidRPr="005A4E20" w:rsidRDefault="00221128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221128" w:rsidRPr="005A4E20" w:rsidRDefault="00221128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221128" w:rsidRPr="005A4E20" w:rsidRDefault="00221128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221128" w:rsidRPr="005A4E20" w:rsidRDefault="00221128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221128" w:rsidRPr="005A4E20" w:rsidRDefault="00221128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9518CB">
      <w:rPr>
        <w:rFonts w:ascii="Arial" w:hAnsi="Arial" w:cs="Arial"/>
        <w:b/>
        <w:caps/>
        <w:noProof/>
        <w:sz w:val="28"/>
        <w:szCs w:val="28"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3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21128" w:rsidRPr="00327589" w:rsidRDefault="00221128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221128" w:rsidRPr="00327589" w:rsidRDefault="00221128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221128" w:rsidRPr="00327589" w:rsidRDefault="00221128" w:rsidP="005A4E20">
    <w:pPr>
      <w:rPr>
        <w:b/>
      </w:rPr>
    </w:pPr>
  </w:p>
  <w:p w:rsidR="00221128" w:rsidRDefault="00221128" w:rsidP="005A4E20">
    <w:pPr>
      <w:pStyle w:val="Header"/>
    </w:pPr>
  </w:p>
  <w:p w:rsidR="00221128" w:rsidRPr="005A4E20" w:rsidRDefault="00221128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32534AD3"/>
    <w:multiLevelType w:val="hybridMultilevel"/>
    <w:tmpl w:val="A3F80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03083A"/>
    <w:multiLevelType w:val="hybridMultilevel"/>
    <w:tmpl w:val="4E1AD514"/>
    <w:lvl w:ilvl="0" w:tplc="8782F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4E20"/>
    <w:rsid w:val="00021344"/>
    <w:rsid w:val="00027C5D"/>
    <w:rsid w:val="00032EB5"/>
    <w:rsid w:val="00044F46"/>
    <w:rsid w:val="000459BF"/>
    <w:rsid w:val="0009480A"/>
    <w:rsid w:val="00094829"/>
    <w:rsid w:val="000A0DD7"/>
    <w:rsid w:val="000A6379"/>
    <w:rsid w:val="000C3237"/>
    <w:rsid w:val="000E06BE"/>
    <w:rsid w:val="000E1848"/>
    <w:rsid w:val="000F0F38"/>
    <w:rsid w:val="00104CA4"/>
    <w:rsid w:val="00115F36"/>
    <w:rsid w:val="00122FAA"/>
    <w:rsid w:val="00141B2F"/>
    <w:rsid w:val="001461F3"/>
    <w:rsid w:val="001661B5"/>
    <w:rsid w:val="0017037B"/>
    <w:rsid w:val="00174B43"/>
    <w:rsid w:val="00176BCB"/>
    <w:rsid w:val="00176E7C"/>
    <w:rsid w:val="00191AE6"/>
    <w:rsid w:val="0019560D"/>
    <w:rsid w:val="00196158"/>
    <w:rsid w:val="001A336F"/>
    <w:rsid w:val="001A5EE9"/>
    <w:rsid w:val="001B7479"/>
    <w:rsid w:val="001C3C92"/>
    <w:rsid w:val="001D3752"/>
    <w:rsid w:val="001E6121"/>
    <w:rsid w:val="001E6A95"/>
    <w:rsid w:val="001E78B4"/>
    <w:rsid w:val="00206150"/>
    <w:rsid w:val="00206DB4"/>
    <w:rsid w:val="002077D7"/>
    <w:rsid w:val="00211122"/>
    <w:rsid w:val="00216F79"/>
    <w:rsid w:val="00220275"/>
    <w:rsid w:val="00221128"/>
    <w:rsid w:val="002221C8"/>
    <w:rsid w:val="0023605C"/>
    <w:rsid w:val="00246C49"/>
    <w:rsid w:val="00250666"/>
    <w:rsid w:val="00252BEE"/>
    <w:rsid w:val="00254FCE"/>
    <w:rsid w:val="002629A3"/>
    <w:rsid w:val="00263676"/>
    <w:rsid w:val="002805B0"/>
    <w:rsid w:val="002831ED"/>
    <w:rsid w:val="00283CB7"/>
    <w:rsid w:val="002A61EE"/>
    <w:rsid w:val="002B05EB"/>
    <w:rsid w:val="002B296E"/>
    <w:rsid w:val="002B299D"/>
    <w:rsid w:val="002B5DD8"/>
    <w:rsid w:val="002C04DF"/>
    <w:rsid w:val="002D1C16"/>
    <w:rsid w:val="002D49DD"/>
    <w:rsid w:val="002F446F"/>
    <w:rsid w:val="002F70D8"/>
    <w:rsid w:val="00301C8F"/>
    <w:rsid w:val="003055AF"/>
    <w:rsid w:val="00316525"/>
    <w:rsid w:val="003207CE"/>
    <w:rsid w:val="0032165E"/>
    <w:rsid w:val="00321827"/>
    <w:rsid w:val="003330DF"/>
    <w:rsid w:val="003429EF"/>
    <w:rsid w:val="00361006"/>
    <w:rsid w:val="0036230D"/>
    <w:rsid w:val="0036574C"/>
    <w:rsid w:val="00366FAE"/>
    <w:rsid w:val="00373216"/>
    <w:rsid w:val="00391055"/>
    <w:rsid w:val="003A4299"/>
    <w:rsid w:val="003C0220"/>
    <w:rsid w:val="003C2910"/>
    <w:rsid w:val="003C3BFF"/>
    <w:rsid w:val="003C7E49"/>
    <w:rsid w:val="003D1BFE"/>
    <w:rsid w:val="003D3730"/>
    <w:rsid w:val="003E0A5B"/>
    <w:rsid w:val="003E6150"/>
    <w:rsid w:val="003E71E6"/>
    <w:rsid w:val="003F0C7F"/>
    <w:rsid w:val="003F475B"/>
    <w:rsid w:val="003F5DA1"/>
    <w:rsid w:val="003F7B9E"/>
    <w:rsid w:val="00401F91"/>
    <w:rsid w:val="004076A5"/>
    <w:rsid w:val="004352E5"/>
    <w:rsid w:val="0045074D"/>
    <w:rsid w:val="004621BE"/>
    <w:rsid w:val="004643FD"/>
    <w:rsid w:val="004709E9"/>
    <w:rsid w:val="0047148F"/>
    <w:rsid w:val="00475EBE"/>
    <w:rsid w:val="004923A7"/>
    <w:rsid w:val="00493D3E"/>
    <w:rsid w:val="004B1843"/>
    <w:rsid w:val="004B683B"/>
    <w:rsid w:val="004B6A19"/>
    <w:rsid w:val="004E1D3C"/>
    <w:rsid w:val="004F05B4"/>
    <w:rsid w:val="004F79C7"/>
    <w:rsid w:val="00502BB8"/>
    <w:rsid w:val="00505382"/>
    <w:rsid w:val="00507803"/>
    <w:rsid w:val="00520AE6"/>
    <w:rsid w:val="00531EC1"/>
    <w:rsid w:val="005334CC"/>
    <w:rsid w:val="00533F70"/>
    <w:rsid w:val="00544C0F"/>
    <w:rsid w:val="0055049C"/>
    <w:rsid w:val="00557420"/>
    <w:rsid w:val="00564500"/>
    <w:rsid w:val="00576656"/>
    <w:rsid w:val="00585905"/>
    <w:rsid w:val="00594ED5"/>
    <w:rsid w:val="005A0FE6"/>
    <w:rsid w:val="005A4E20"/>
    <w:rsid w:val="005B29BD"/>
    <w:rsid w:val="005B76A9"/>
    <w:rsid w:val="005C447F"/>
    <w:rsid w:val="005C4990"/>
    <w:rsid w:val="005C58E0"/>
    <w:rsid w:val="005C6A86"/>
    <w:rsid w:val="005E7F82"/>
    <w:rsid w:val="005F2123"/>
    <w:rsid w:val="00600484"/>
    <w:rsid w:val="00602008"/>
    <w:rsid w:val="00621335"/>
    <w:rsid w:val="00632651"/>
    <w:rsid w:val="006333E8"/>
    <w:rsid w:val="00636BE2"/>
    <w:rsid w:val="0063797E"/>
    <w:rsid w:val="006454D8"/>
    <w:rsid w:val="006511BF"/>
    <w:rsid w:val="00652691"/>
    <w:rsid w:val="00664697"/>
    <w:rsid w:val="006715D6"/>
    <w:rsid w:val="006863B5"/>
    <w:rsid w:val="00686DFD"/>
    <w:rsid w:val="00691188"/>
    <w:rsid w:val="006A0686"/>
    <w:rsid w:val="006C0810"/>
    <w:rsid w:val="006D1744"/>
    <w:rsid w:val="006E32F2"/>
    <w:rsid w:val="006F3175"/>
    <w:rsid w:val="006F63BD"/>
    <w:rsid w:val="007004EB"/>
    <w:rsid w:val="00722E45"/>
    <w:rsid w:val="00724909"/>
    <w:rsid w:val="00751758"/>
    <w:rsid w:val="00757F8E"/>
    <w:rsid w:val="00775FC1"/>
    <w:rsid w:val="007834CB"/>
    <w:rsid w:val="007846BB"/>
    <w:rsid w:val="00784F30"/>
    <w:rsid w:val="007B2F94"/>
    <w:rsid w:val="007C02B9"/>
    <w:rsid w:val="007C0FB2"/>
    <w:rsid w:val="007C1DA0"/>
    <w:rsid w:val="007E5C34"/>
    <w:rsid w:val="007F1EC7"/>
    <w:rsid w:val="007F6B03"/>
    <w:rsid w:val="00802F73"/>
    <w:rsid w:val="0081196B"/>
    <w:rsid w:val="00826577"/>
    <w:rsid w:val="00843264"/>
    <w:rsid w:val="00845F3C"/>
    <w:rsid w:val="00852625"/>
    <w:rsid w:val="008572E4"/>
    <w:rsid w:val="00861D1D"/>
    <w:rsid w:val="00865BCF"/>
    <w:rsid w:val="00872395"/>
    <w:rsid w:val="00881A2D"/>
    <w:rsid w:val="00894B45"/>
    <w:rsid w:val="008A02D8"/>
    <w:rsid w:val="008A5977"/>
    <w:rsid w:val="008C17CC"/>
    <w:rsid w:val="008C1CA5"/>
    <w:rsid w:val="008D6944"/>
    <w:rsid w:val="008D6A3D"/>
    <w:rsid w:val="008E2E83"/>
    <w:rsid w:val="008E4359"/>
    <w:rsid w:val="008E6195"/>
    <w:rsid w:val="008F0C15"/>
    <w:rsid w:val="008F0CC1"/>
    <w:rsid w:val="00913656"/>
    <w:rsid w:val="00913D68"/>
    <w:rsid w:val="00916C7E"/>
    <w:rsid w:val="009208B0"/>
    <w:rsid w:val="00932A0B"/>
    <w:rsid w:val="009339CF"/>
    <w:rsid w:val="00933E8A"/>
    <w:rsid w:val="009518CB"/>
    <w:rsid w:val="00954BD8"/>
    <w:rsid w:val="00973EC2"/>
    <w:rsid w:val="009835FC"/>
    <w:rsid w:val="00984DAB"/>
    <w:rsid w:val="00993526"/>
    <w:rsid w:val="009B64E3"/>
    <w:rsid w:val="009C3658"/>
    <w:rsid w:val="009C6383"/>
    <w:rsid w:val="009D6CEA"/>
    <w:rsid w:val="009E7F8F"/>
    <w:rsid w:val="00A20FAA"/>
    <w:rsid w:val="00A46477"/>
    <w:rsid w:val="00A47E55"/>
    <w:rsid w:val="00A50CED"/>
    <w:rsid w:val="00A640C2"/>
    <w:rsid w:val="00A82CD4"/>
    <w:rsid w:val="00A871A8"/>
    <w:rsid w:val="00A930A4"/>
    <w:rsid w:val="00A94592"/>
    <w:rsid w:val="00AA1AFB"/>
    <w:rsid w:val="00AA447C"/>
    <w:rsid w:val="00AA4D8E"/>
    <w:rsid w:val="00AA6DC6"/>
    <w:rsid w:val="00AB2094"/>
    <w:rsid w:val="00AB3EDC"/>
    <w:rsid w:val="00AC2986"/>
    <w:rsid w:val="00AC319C"/>
    <w:rsid w:val="00AD25BD"/>
    <w:rsid w:val="00AD5171"/>
    <w:rsid w:val="00AE162E"/>
    <w:rsid w:val="00AE1E51"/>
    <w:rsid w:val="00AF2058"/>
    <w:rsid w:val="00AF654C"/>
    <w:rsid w:val="00B065A1"/>
    <w:rsid w:val="00B14C03"/>
    <w:rsid w:val="00B163BE"/>
    <w:rsid w:val="00B33BDC"/>
    <w:rsid w:val="00B34BAE"/>
    <w:rsid w:val="00B4653C"/>
    <w:rsid w:val="00B50F80"/>
    <w:rsid w:val="00B530C0"/>
    <w:rsid w:val="00B56320"/>
    <w:rsid w:val="00B61664"/>
    <w:rsid w:val="00B70218"/>
    <w:rsid w:val="00B75974"/>
    <w:rsid w:val="00B768EB"/>
    <w:rsid w:val="00B80C48"/>
    <w:rsid w:val="00B83CFA"/>
    <w:rsid w:val="00B95A38"/>
    <w:rsid w:val="00B9786A"/>
    <w:rsid w:val="00BA2EB8"/>
    <w:rsid w:val="00BB3100"/>
    <w:rsid w:val="00BB5F6C"/>
    <w:rsid w:val="00BB6701"/>
    <w:rsid w:val="00BB77CC"/>
    <w:rsid w:val="00BC0135"/>
    <w:rsid w:val="00BD5148"/>
    <w:rsid w:val="00BE47B0"/>
    <w:rsid w:val="00BF2454"/>
    <w:rsid w:val="00BF2F05"/>
    <w:rsid w:val="00BF3E5B"/>
    <w:rsid w:val="00C14486"/>
    <w:rsid w:val="00C17379"/>
    <w:rsid w:val="00C4772B"/>
    <w:rsid w:val="00C5579D"/>
    <w:rsid w:val="00C833CC"/>
    <w:rsid w:val="00C85D86"/>
    <w:rsid w:val="00C949F8"/>
    <w:rsid w:val="00C95313"/>
    <w:rsid w:val="00CB3A62"/>
    <w:rsid w:val="00CB409A"/>
    <w:rsid w:val="00CD4422"/>
    <w:rsid w:val="00CD64F7"/>
    <w:rsid w:val="00CE1947"/>
    <w:rsid w:val="00CF20A1"/>
    <w:rsid w:val="00CF284A"/>
    <w:rsid w:val="00D01466"/>
    <w:rsid w:val="00D2245D"/>
    <w:rsid w:val="00D249D0"/>
    <w:rsid w:val="00D45431"/>
    <w:rsid w:val="00D53082"/>
    <w:rsid w:val="00D54C29"/>
    <w:rsid w:val="00D57133"/>
    <w:rsid w:val="00D6180E"/>
    <w:rsid w:val="00D82532"/>
    <w:rsid w:val="00D8622F"/>
    <w:rsid w:val="00DB3CEE"/>
    <w:rsid w:val="00DC1F8E"/>
    <w:rsid w:val="00DC52BD"/>
    <w:rsid w:val="00DC773E"/>
    <w:rsid w:val="00DC7D8E"/>
    <w:rsid w:val="00DE219B"/>
    <w:rsid w:val="00DE3E97"/>
    <w:rsid w:val="00DF0A60"/>
    <w:rsid w:val="00DF1335"/>
    <w:rsid w:val="00DF1F83"/>
    <w:rsid w:val="00DF31C1"/>
    <w:rsid w:val="00DF5DF9"/>
    <w:rsid w:val="00E02274"/>
    <w:rsid w:val="00E14461"/>
    <w:rsid w:val="00E177DC"/>
    <w:rsid w:val="00E307DA"/>
    <w:rsid w:val="00E310A6"/>
    <w:rsid w:val="00E3311A"/>
    <w:rsid w:val="00E35FF4"/>
    <w:rsid w:val="00E523D6"/>
    <w:rsid w:val="00E60DF5"/>
    <w:rsid w:val="00E73F52"/>
    <w:rsid w:val="00E81AF5"/>
    <w:rsid w:val="00E9059E"/>
    <w:rsid w:val="00E93EBF"/>
    <w:rsid w:val="00EA54C2"/>
    <w:rsid w:val="00EB1D48"/>
    <w:rsid w:val="00EC2723"/>
    <w:rsid w:val="00EE23B7"/>
    <w:rsid w:val="00EE609D"/>
    <w:rsid w:val="00EE69C6"/>
    <w:rsid w:val="00EE6A9F"/>
    <w:rsid w:val="00EF4187"/>
    <w:rsid w:val="00EF4383"/>
    <w:rsid w:val="00EF4A76"/>
    <w:rsid w:val="00F025BD"/>
    <w:rsid w:val="00F043D6"/>
    <w:rsid w:val="00F216B0"/>
    <w:rsid w:val="00F27450"/>
    <w:rsid w:val="00F336FD"/>
    <w:rsid w:val="00F345CB"/>
    <w:rsid w:val="00F37AC5"/>
    <w:rsid w:val="00F44D3B"/>
    <w:rsid w:val="00F47F06"/>
    <w:rsid w:val="00F51FAD"/>
    <w:rsid w:val="00F54D33"/>
    <w:rsid w:val="00F54E4E"/>
    <w:rsid w:val="00F5552E"/>
    <w:rsid w:val="00F55D8C"/>
    <w:rsid w:val="00F64277"/>
    <w:rsid w:val="00F74E75"/>
    <w:rsid w:val="00F813D0"/>
    <w:rsid w:val="00F8433E"/>
    <w:rsid w:val="00F8784F"/>
    <w:rsid w:val="00F931AB"/>
    <w:rsid w:val="00F935B5"/>
    <w:rsid w:val="00F93A74"/>
    <w:rsid w:val="00FA0752"/>
    <w:rsid w:val="00FA5624"/>
    <w:rsid w:val="00FB06C2"/>
    <w:rsid w:val="00FB1D31"/>
    <w:rsid w:val="00FB21CA"/>
    <w:rsid w:val="00FC1D13"/>
    <w:rsid w:val="00FC4EFC"/>
    <w:rsid w:val="00FC5CB7"/>
    <w:rsid w:val="00FD05AE"/>
    <w:rsid w:val="00FD70BB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customStyle="1" w:styleId="ListParagraph1">
    <w:name w:val="List Paragraph1"/>
    <w:basedOn w:val="Normal"/>
    <w:rsid w:val="00916C7E"/>
    <w:pPr>
      <w:suppressAutoHyphens w:val="0"/>
      <w:spacing w:after="200" w:line="276" w:lineRule="auto"/>
      <w:ind w:left="720"/>
    </w:pPr>
    <w:rPr>
      <w:rFonts w:ascii="Calibri" w:eastAsia="Calibri" w:hAnsi="Calibri" w:cs="Calibri"/>
      <w:kern w:val="1"/>
      <w:sz w:val="24"/>
      <w:szCs w:val="22"/>
      <w:lang w:val="en-US" w:eastAsia="hi-IN" w:bidi="hi-IN"/>
    </w:rPr>
  </w:style>
  <w:style w:type="paragraph" w:styleId="FootnoteText">
    <w:name w:val="footnote text"/>
    <w:basedOn w:val="Normal"/>
    <w:link w:val="FootnoteTextChar"/>
    <w:rsid w:val="009835FC"/>
  </w:style>
  <w:style w:type="character" w:customStyle="1" w:styleId="FootnoteTextChar">
    <w:name w:val="Footnote Text Char"/>
    <w:link w:val="FootnoteText"/>
    <w:rsid w:val="009835FC"/>
    <w:rPr>
      <w:lang w:eastAsia="ar-SA"/>
    </w:rPr>
  </w:style>
  <w:style w:type="character" w:styleId="FootnoteReference">
    <w:name w:val="footnote reference"/>
    <w:rsid w:val="009835FC"/>
    <w:rPr>
      <w:vertAlign w:val="superscript"/>
    </w:rPr>
  </w:style>
  <w:style w:type="character" w:styleId="Strong">
    <w:name w:val="Strong"/>
    <w:uiPriority w:val="22"/>
    <w:qFormat/>
    <w:rsid w:val="00E3311A"/>
    <w:rPr>
      <w:b/>
      <w:bCs/>
    </w:rPr>
  </w:style>
  <w:style w:type="paragraph" w:customStyle="1" w:styleId="normal0">
    <w:name w:val="normal"/>
    <w:basedOn w:val="Normal"/>
    <w:rsid w:val="002F446F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00FE-4934-4C59-96A3-3D1FC30D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3894</CharactersWithSpaces>
  <SharedDoc>false</SharedDoc>
  <HLinks>
    <vt:vector size="48" baseType="variant">
      <vt:variant>
        <vt:i4>6815855</vt:i4>
      </vt:variant>
      <vt:variant>
        <vt:i4>15</vt:i4>
      </vt:variant>
      <vt:variant>
        <vt:i4>0</vt:i4>
      </vt:variant>
      <vt:variant>
        <vt:i4>5</vt:i4>
      </vt:variant>
      <vt:variant>
        <vt:lpwstr>http://www.mpravde.gov.rs/files/uzbunjivaci obraz. 18.12.13.doc</vt:lpwstr>
      </vt:variant>
      <vt:variant>
        <vt:lpwstr/>
      </vt:variant>
      <vt:variant>
        <vt:i4>4980814</vt:i4>
      </vt:variant>
      <vt:variant>
        <vt:i4>12</vt:i4>
      </vt:variant>
      <vt:variant>
        <vt:i4>0</vt:i4>
      </vt:variant>
      <vt:variant>
        <vt:i4>5</vt:i4>
      </vt:variant>
      <vt:variant>
        <vt:lpwstr>http://www.mpravde.gov.rs/files/Nacionalna-Strategija-za-borbu-protiv-korupcije-u-Republici-Srbiji-za-period-od-2013.-do-2018.-godine.pdf</vt:lpwstr>
      </vt:variant>
      <vt:variant>
        <vt:lpwstr/>
      </vt:variant>
      <vt:variant>
        <vt:i4>1507415</vt:i4>
      </vt:variant>
      <vt:variant>
        <vt:i4>9</vt:i4>
      </vt:variant>
      <vt:variant>
        <vt:i4>0</vt:i4>
      </vt:variant>
      <vt:variant>
        <vt:i4>5</vt:i4>
      </vt:variant>
      <vt:variant>
        <vt:lpwstr>http://www.mpravde.gov.rs/files/uzbunjivaci zakon 18.12.13-2.doc</vt:lpwstr>
      </vt:variant>
      <vt:variant>
        <vt:lpwstr/>
      </vt:variant>
      <vt:variant>
        <vt:i4>7798910</vt:i4>
      </vt:variant>
      <vt:variant>
        <vt:i4>6</vt:i4>
      </vt:variant>
      <vt:variant>
        <vt:i4>0</vt:i4>
      </vt:variant>
      <vt:variant>
        <vt:i4>5</vt:i4>
      </vt:variant>
      <vt:variant>
        <vt:lpwstr>http://www.mpravde.gov.rs/sekcija/53/radne-verzije-propisa.php</vt:lpwstr>
      </vt:variant>
      <vt:variant>
        <vt:lpwstr/>
      </vt:variant>
      <vt:variant>
        <vt:i4>93</vt:i4>
      </vt:variant>
      <vt:variant>
        <vt:i4>3</vt:i4>
      </vt:variant>
      <vt:variant>
        <vt:i4>0</vt:i4>
      </vt:variant>
      <vt:variant>
        <vt:i4>5</vt:i4>
      </vt:variant>
      <vt:variant>
        <vt:lpwstr>http://www.mpravde.gov.rs/files/Komentari medjunarodnih eksperata.zip</vt:lpwstr>
      </vt:variant>
      <vt:variant>
        <vt:lpwstr/>
      </vt:variant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http://www.mpravde.gov.rs/files/akcioni-plan-protiv-korupcije-13-18-slglasnik.doc</vt:lpwstr>
      </vt:variant>
      <vt:variant>
        <vt:lpwstr/>
      </vt:variant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Popsy</cp:lastModifiedBy>
  <cp:revision>7</cp:revision>
  <cp:lastPrinted>2014-02-06T12:18:00Z</cp:lastPrinted>
  <dcterms:created xsi:type="dcterms:W3CDTF">2014-02-06T12:28:00Z</dcterms:created>
  <dcterms:modified xsi:type="dcterms:W3CDTF">2014-02-20T11:37:00Z</dcterms:modified>
</cp:coreProperties>
</file>